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80" w:before="0" w:line="296.47058823529414" w:lineRule="auto"/>
        <w:rPr>
          <w:rFonts w:ascii="Roboto" w:cs="Roboto" w:eastAsia="Roboto" w:hAnsi="Roboto"/>
          <w:b w:val="1"/>
          <w:bCs w:val="1"/>
          <w:color w:val="222222"/>
          <w:sz w:val="33"/>
          <w:szCs w:val="33"/>
          <w:highlight w:val="white"/>
        </w:rPr>
      </w:pPr>
      <w:bookmarkStart w:colFirst="0" w:colLast="0" w:name="_heading=h.2rgy9d91jmh4" w:id="0"/>
      <w:bookmarkEnd w:id="0"/>
      <w:r w:rsidDel="00000000" w:rsidR="00000000" w:rsidRPr="00000000">
        <w:rPr>
          <w:rFonts w:ascii="Roboto" w:cs="Roboto" w:eastAsia="Roboto" w:hAnsi="Roboto"/>
          <w:b w:val="1"/>
          <w:bCs w:val="1"/>
          <w:color w:val="222222"/>
          <w:sz w:val="33"/>
          <w:szCs w:val="33"/>
          <w:highlight w:val="white"/>
          <w:rtl w:val="0"/>
        </w:rPr>
        <w:t xml:space="preserve">Greenhouse Gas (GHG) and CO2 Policy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20" w:line="360" w:lineRule="auto"/>
        <w:rPr>
          <w:rFonts w:ascii="Roboto" w:cs="Roboto" w:eastAsia="Roboto" w:hAnsi="Roboto"/>
          <w:color w:val="222222"/>
          <w:sz w:val="25"/>
          <w:szCs w:val="25"/>
          <w:highlight w:val="white"/>
        </w:rPr>
      </w:pPr>
      <w:r w:rsidDel="00000000" w:rsidR="00000000" w:rsidRPr="00000000">
        <w:rPr>
          <w:rFonts w:ascii="Roboto" w:cs="Roboto" w:eastAsia="Roboto" w:hAnsi="Roboto"/>
          <w:color w:val="222222"/>
          <w:sz w:val="25"/>
          <w:szCs w:val="25"/>
          <w:highlight w:val="white"/>
          <w:rtl w:val="0"/>
        </w:rPr>
        <w:t xml:space="preserve">Prestige Environmental LLC Effective date: May 7, 2026</w:t>
      </w:r>
    </w:p>
    <w:p w:rsidR="00000000" w:rsidDel="00000000" w:rsidP="00000000" w:rsidRDefault="00000000" w:rsidRPr="00000000" w14:paraId="00000003">
      <w:pPr>
        <w:numPr>
          <w:ilvl w:val="0"/>
          <w:numId w:val="17"/>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Purpose</w:t>
      </w:r>
    </w:p>
    <w:p w:rsidR="00000000" w:rsidDel="00000000" w:rsidP="00000000" w:rsidRDefault="00000000" w:rsidRPr="00000000" w14:paraId="00000004">
      <w:pPr>
        <w:numPr>
          <w:ilvl w:val="0"/>
          <w:numId w:val="1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Establish Prestige Environmental LLC’s commitments, responsibilities, and procedures to measure, reduce, and report greenhouse gas (GHG) emissions—focusing on CO2—to minimize climate impact and align operations with best-practice environmental stewardship.</w:t>
      </w:r>
    </w:p>
    <w:p w:rsidR="00000000" w:rsidDel="00000000" w:rsidP="00000000" w:rsidRDefault="00000000" w:rsidRPr="00000000" w14:paraId="00000005">
      <w:pPr>
        <w:numPr>
          <w:ilvl w:val="0"/>
          <w:numId w:val="7"/>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Scope</w:t>
      </w:r>
    </w:p>
    <w:p w:rsidR="00000000" w:rsidDel="00000000" w:rsidP="00000000" w:rsidRDefault="00000000" w:rsidRPr="00000000" w14:paraId="00000006">
      <w:pPr>
        <w:numPr>
          <w:ilvl w:val="0"/>
          <w:numId w:val="3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Applies to all Prestige Environmental LLC operations, employees, contractors, and facilities under direct operational control, including offices, company vehicles, project sites, and business travel. Covers Scope 1, Scope 2, and material Scope 3 emissions as defined below.</w:t>
      </w:r>
    </w:p>
    <w:p w:rsidR="00000000" w:rsidDel="00000000" w:rsidP="00000000" w:rsidRDefault="00000000" w:rsidRPr="00000000" w14:paraId="00000007">
      <w:pPr>
        <w:numPr>
          <w:ilvl w:val="0"/>
          <w:numId w:val="6"/>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Definitions</w:t>
      </w:r>
    </w:p>
    <w:p w:rsidR="00000000" w:rsidDel="00000000" w:rsidP="00000000" w:rsidRDefault="00000000" w:rsidRPr="00000000" w14:paraId="00000008">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GHGs: Carbon dioxide (CO2), methane (CH4), nitrous oxide (N2O), and other gases in the Kyoto/UNFCCC list.</w:t>
      </w:r>
    </w:p>
    <w:p w:rsidR="00000000" w:rsidDel="00000000" w:rsidP="00000000" w:rsidRDefault="00000000" w:rsidRPr="00000000" w14:paraId="00000009">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CO2e: Carbon dioxide equivalent—a metric to aggregate GHGs using global warming potential.</w:t>
      </w:r>
    </w:p>
    <w:p w:rsidR="00000000" w:rsidDel="00000000" w:rsidP="00000000" w:rsidRDefault="00000000" w:rsidRPr="00000000" w14:paraId="0000000A">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Scope 1: Direct emissions from company-owned or controlled sources (fuel combustion, company vehicles).</w:t>
      </w:r>
    </w:p>
    <w:p w:rsidR="00000000" w:rsidDel="00000000" w:rsidP="00000000" w:rsidRDefault="00000000" w:rsidRPr="00000000" w14:paraId="0000000B">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Scope 2: Indirect emissions from purchased electricity, heat, or steam.</w:t>
      </w:r>
    </w:p>
    <w:p w:rsidR="00000000" w:rsidDel="00000000" w:rsidP="00000000" w:rsidRDefault="00000000" w:rsidRPr="00000000" w14:paraId="0000000C">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Scope 3: Other indirect emissions from value chain activities (business travel, contractor activities, procurement, waste).</w:t>
      </w:r>
    </w:p>
    <w:p w:rsidR="00000000" w:rsidDel="00000000" w:rsidP="00000000" w:rsidRDefault="00000000" w:rsidRPr="00000000" w14:paraId="0000000D">
      <w:pPr>
        <w:numPr>
          <w:ilvl w:val="0"/>
          <w:numId w:val="18"/>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Governance and Responsibilities</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Executive Lead: President/Owner has overall accountability for policy adoption, resourcing, and targets.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Ensure departmental compliance with reductions, data provision, and adoption of low-carbon practices.</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All Employees and Contractors: Follow procedures, track relevant activity data, and support reduction initiatives.</w:t>
      </w:r>
    </w:p>
    <w:p w:rsidR="00000000" w:rsidDel="00000000" w:rsidP="00000000" w:rsidRDefault="00000000" w:rsidRPr="00000000" w14:paraId="00000011">
      <w:pPr>
        <w:numPr>
          <w:ilvl w:val="0"/>
          <w:numId w:val="20"/>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Measurement and Inventory</w:t>
      </w:r>
    </w:p>
    <w:p w:rsidR="00000000" w:rsidDel="00000000" w:rsidP="00000000" w:rsidRDefault="00000000" w:rsidRPr="00000000" w14:paraId="00000012">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Inventory Frequency: Prepare a company-wide GHG inventory annually.</w:t>
      </w:r>
    </w:p>
    <w:p w:rsidR="00000000" w:rsidDel="00000000" w:rsidP="00000000" w:rsidRDefault="00000000" w:rsidRPr="00000000" w14:paraId="00000013">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Standard &amp; Boundaries: Use the Greenhouse Gas Protocol Corporate Standard for boundary and methodology. </w:t>
      </w:r>
    </w:p>
    <w:p w:rsidR="00000000" w:rsidDel="00000000" w:rsidP="00000000" w:rsidRDefault="00000000" w:rsidRPr="00000000" w14:paraId="00000014">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Data Collection: Collect activity data (fuel, electricity, travel, waste, procurement) with supporting records. Use emission factors from authoritative sources (e.g., EPA, IEA, national grid factors) and document factor sources and versions.</w:t>
      </w:r>
    </w:p>
    <w:p w:rsidR="00000000" w:rsidDel="00000000" w:rsidP="00000000" w:rsidRDefault="00000000" w:rsidRPr="00000000" w14:paraId="00000015">
      <w:pPr>
        <w:numPr>
          <w:ilvl w:val="0"/>
          <w:numId w:val="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Verification: Conduct internal quality checks each inventory cycle. For credibility, pursue third-party limited assurance every 3 years or sooner if required by major clients or regulations.</w:t>
      </w:r>
    </w:p>
    <w:p w:rsidR="00000000" w:rsidDel="00000000" w:rsidP="00000000" w:rsidRDefault="00000000" w:rsidRPr="00000000" w14:paraId="00000016">
      <w:pPr>
        <w:numPr>
          <w:ilvl w:val="0"/>
          <w:numId w:val="10"/>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Reduction Targets</w:t>
      </w:r>
    </w:p>
    <w:p w:rsidR="00000000" w:rsidDel="00000000" w:rsidP="00000000" w:rsidRDefault="00000000" w:rsidRPr="00000000" w14:paraId="00000017">
      <w:pPr>
        <w:numPr>
          <w:ilvl w:val="0"/>
          <w:numId w:val="3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Short-term target (by end of year 1 after policy adoption): Reduce company-wide CO2e intensity (CO2e per full-time-equivalent or per revenue) by 5% versus baseline year.</w:t>
      </w:r>
    </w:p>
    <w:p w:rsidR="00000000" w:rsidDel="00000000" w:rsidP="00000000" w:rsidRDefault="00000000" w:rsidRPr="00000000" w14:paraId="00000018">
      <w:pPr>
        <w:numPr>
          <w:ilvl w:val="0"/>
          <w:numId w:val="3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Medium-term target (by year 4): Reduce absolute Scope 1 and Scope 2 CO2e by 20% versus baseline year.</w:t>
      </w:r>
    </w:p>
    <w:p w:rsidR="00000000" w:rsidDel="00000000" w:rsidP="00000000" w:rsidRDefault="00000000" w:rsidRPr="00000000" w14:paraId="00000019">
      <w:pPr>
        <w:numPr>
          <w:ilvl w:val="0"/>
          <w:numId w:val="3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Baseline: Establish a clear baseline year (first full calendar year after adoption of this policy) using the completed inventory.</w:t>
      </w:r>
    </w:p>
    <w:p w:rsidR="00000000" w:rsidDel="00000000" w:rsidP="00000000" w:rsidRDefault="00000000" w:rsidRPr="00000000" w14:paraId="0000001A">
      <w:pPr>
        <w:numPr>
          <w:ilvl w:val="0"/>
          <w:numId w:val="3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Review: Targets reviewed annually and adjusted to reflect technology, growth, and science-based guidance.</w:t>
      </w:r>
    </w:p>
    <w:p w:rsidR="00000000" w:rsidDel="00000000" w:rsidP="00000000" w:rsidRDefault="00000000" w:rsidRPr="00000000" w14:paraId="0000001B">
      <w:pPr>
        <w:numPr>
          <w:ilvl w:val="0"/>
          <w:numId w:val="24"/>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Reduction Hierarchy and Actions</w:t>
      </w:r>
    </w:p>
    <w:p w:rsidR="00000000" w:rsidDel="00000000" w:rsidP="00000000" w:rsidRDefault="00000000" w:rsidRPr="00000000" w14:paraId="0000001C">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Avoid &amp; Reduce (preferred)</w:t>
      </w:r>
    </w:p>
    <w:p w:rsidR="00000000" w:rsidDel="00000000" w:rsidP="00000000" w:rsidRDefault="00000000" w:rsidRPr="00000000" w14:paraId="0000001D">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Energy efficiency: Improve building and equipment efficiency, LED lighting, programmable thermostats, HVAC maintenance.</w:t>
      </w:r>
    </w:p>
    <w:p w:rsidR="00000000" w:rsidDel="00000000" w:rsidP="00000000" w:rsidRDefault="00000000" w:rsidRPr="00000000" w14:paraId="0000001E">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Low-carbon procurement: Favor low-carbon suppliers and low-embodied-carbon materials in projects.</w:t>
      </w:r>
    </w:p>
    <w:p w:rsidR="00000000" w:rsidDel="00000000" w:rsidP="00000000" w:rsidRDefault="00000000" w:rsidRPr="00000000" w14:paraId="0000001F">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Travel &amp; transport: Prioritize remote meetings; encourage public transit, carpooling, and transition company vehicles to low-emission or electric vehicles when feasible.</w:t>
      </w:r>
    </w:p>
    <w:p w:rsidR="00000000" w:rsidDel="00000000" w:rsidP="00000000" w:rsidRDefault="00000000" w:rsidRPr="00000000" w14:paraId="00000020">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Operational changes: Reduce idling, optimize routes, implement preventive maintenance to improve fuel efficiency.</w:t>
      </w:r>
    </w:p>
    <w:p w:rsidR="00000000" w:rsidDel="00000000" w:rsidP="00000000" w:rsidRDefault="00000000" w:rsidRPr="00000000" w14:paraId="00000021">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Replace</w:t>
      </w:r>
    </w:p>
    <w:p w:rsidR="00000000" w:rsidDel="00000000" w:rsidP="00000000" w:rsidRDefault="00000000" w:rsidRPr="00000000" w14:paraId="00000022">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Electricity sourcing: Procure renewable electricity via utility green tariffs, Renewable Energy Certificates (RECs) where direct contracts unavailable, and on-site renewables (solar) where viable.</w:t>
      </w:r>
    </w:p>
    <w:p w:rsidR="00000000" w:rsidDel="00000000" w:rsidP="00000000" w:rsidRDefault="00000000" w:rsidRPr="00000000" w14:paraId="00000023">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Fleet electrification: Plan phased replacement of combustion vehicles with EVs, prioritizing high-mileage units.</w:t>
      </w:r>
    </w:p>
    <w:p w:rsidR="00000000" w:rsidDel="00000000" w:rsidP="00000000" w:rsidRDefault="00000000" w:rsidRPr="00000000" w14:paraId="00000024">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Offset (last resort)</w:t>
      </w:r>
    </w:p>
    <w:p w:rsidR="00000000" w:rsidDel="00000000" w:rsidP="00000000" w:rsidRDefault="00000000" w:rsidRPr="00000000" w14:paraId="00000025">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Use high-quality, verified carbon removal or avoidance credits only to address residual emissions after all feasible reductions. Prioritize removals and projects with co-benefits (community, biodiversity) and use recognized standards (e.g., Verra VCS, Gold Standard).</w:t>
      </w:r>
    </w:p>
    <w:p w:rsidR="00000000" w:rsidDel="00000000" w:rsidP="00000000" w:rsidRDefault="00000000" w:rsidRPr="00000000" w14:paraId="00000026">
      <w:pPr>
        <w:numPr>
          <w:ilvl w:val="1"/>
          <w:numId w:val="4"/>
        </w:numPr>
        <w:pBdr>
          <w:top w:color="auto" w:space="0" w:sz="0" w:val="none"/>
          <w:bottom w:color="auto" w:space="0" w:sz="0" w:val="none"/>
          <w:right w:color="auto" w:space="0" w:sz="0" w:val="none"/>
          <w:between w:color="auto" w:space="0" w:sz="0" w:val="none"/>
        </w:pBdr>
        <w:spacing w:after="0" w:afterAutospacing="0" w:before="0" w:beforeAutospacing="0" w:line="360" w:lineRule="auto"/>
        <w:ind w:left="1920" w:hanging="360"/>
      </w:pPr>
      <w:r w:rsidDel="00000000" w:rsidR="00000000" w:rsidRPr="00000000">
        <w:rPr>
          <w:rFonts w:ascii="Roboto" w:cs="Roboto" w:eastAsia="Roboto" w:hAnsi="Roboto"/>
          <w:color w:val="222222"/>
          <w:sz w:val="25"/>
          <w:szCs w:val="25"/>
          <w:highlight w:val="white"/>
          <w:rtl w:val="0"/>
        </w:rPr>
        <w:t xml:space="preserve">Maintain transparency: disclose offsets used, project types, vintage, and standard.</w:t>
      </w:r>
    </w:p>
    <w:p w:rsidR="00000000" w:rsidDel="00000000" w:rsidP="00000000" w:rsidRDefault="00000000" w:rsidRPr="00000000" w14:paraId="00000027">
      <w:pPr>
        <w:numPr>
          <w:ilvl w:val="0"/>
          <w:numId w:val="16"/>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Procurement &amp; Contracts</w:t>
      </w:r>
    </w:p>
    <w:p w:rsidR="00000000" w:rsidDel="00000000" w:rsidP="00000000" w:rsidRDefault="00000000" w:rsidRPr="00000000" w14:paraId="00000028">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Include carbon considerations in supplier selection and bidding criteria for material services and products.</w:t>
      </w:r>
    </w:p>
    <w:p w:rsidR="00000000" w:rsidDel="00000000" w:rsidP="00000000" w:rsidRDefault="00000000" w:rsidRPr="00000000" w14:paraId="00000029">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Require major contractors to provide emissions data for work performed and encourage subcontractor low-carbon measures.</w:t>
      </w:r>
    </w:p>
    <w:p w:rsidR="00000000" w:rsidDel="00000000" w:rsidP="00000000" w:rsidRDefault="00000000" w:rsidRPr="00000000" w14:paraId="0000002A">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Favor local sourcing when it reduces lifecycle emissions and maintains quality.</w:t>
      </w:r>
    </w:p>
    <w:p w:rsidR="00000000" w:rsidDel="00000000" w:rsidP="00000000" w:rsidRDefault="00000000" w:rsidRPr="00000000" w14:paraId="0000002B">
      <w:pPr>
        <w:numPr>
          <w:ilvl w:val="0"/>
          <w:numId w:val="14"/>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Reporting and Transparency</w:t>
      </w:r>
    </w:p>
    <w:p w:rsidR="00000000" w:rsidDel="00000000" w:rsidP="00000000" w:rsidRDefault="00000000" w:rsidRPr="00000000" w14:paraId="0000002C">
      <w:pPr>
        <w:numPr>
          <w:ilvl w:val="0"/>
          <w:numId w:val="2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Annual Report: Publish a concise GHG report annually summarizing inventory methodology, emissions by scope, progress versus targets, reduction actions, and offset use.</w:t>
      </w:r>
    </w:p>
    <w:p w:rsidR="00000000" w:rsidDel="00000000" w:rsidP="00000000" w:rsidRDefault="00000000" w:rsidRPr="00000000" w14:paraId="0000002D">
      <w:pPr>
        <w:numPr>
          <w:ilvl w:val="0"/>
          <w:numId w:val="2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Recordkeeping: Maintain inventory data, emissions calculations, procurement decisions, and verification reports for at least 3 years.</w:t>
      </w:r>
    </w:p>
    <w:p w:rsidR="00000000" w:rsidDel="00000000" w:rsidP="00000000" w:rsidRDefault="00000000" w:rsidRPr="00000000" w14:paraId="0000002E">
      <w:pPr>
        <w:numPr>
          <w:ilvl w:val="0"/>
          <w:numId w:val="30"/>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Training and Engagement</w:t>
      </w:r>
    </w:p>
    <w:p w:rsidR="00000000" w:rsidDel="00000000" w:rsidP="00000000" w:rsidRDefault="00000000" w:rsidRPr="00000000" w14:paraId="0000002F">
      <w:pPr>
        <w:numPr>
          <w:ilvl w:val="0"/>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Provide employee training on emissions reduction practices, data collection, and the company’s targets.</w:t>
      </w:r>
    </w:p>
    <w:p w:rsidR="00000000" w:rsidDel="00000000" w:rsidP="00000000" w:rsidRDefault="00000000" w:rsidRPr="00000000" w14:paraId="00000030">
      <w:pPr>
        <w:numPr>
          <w:ilvl w:val="0"/>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Encourage staff suggestions and establish a simple process to propose efficiency or low-carbon projects.</w:t>
      </w:r>
    </w:p>
    <w:p w:rsidR="00000000" w:rsidDel="00000000" w:rsidP="00000000" w:rsidRDefault="00000000" w:rsidRPr="00000000" w14:paraId="00000031">
      <w:pPr>
        <w:numPr>
          <w:ilvl w:val="0"/>
          <w:numId w:val="21"/>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Communicate progress to clients and stakeholders in marketing materials only after verified achievements.</w:t>
      </w:r>
    </w:p>
    <w:p w:rsidR="00000000" w:rsidDel="00000000" w:rsidP="00000000" w:rsidRDefault="00000000" w:rsidRPr="00000000" w14:paraId="00000032">
      <w:pPr>
        <w:numPr>
          <w:ilvl w:val="0"/>
          <w:numId w:val="11"/>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Capital Planning and Investment</w:t>
      </w:r>
    </w:p>
    <w:p w:rsidR="00000000" w:rsidDel="00000000" w:rsidP="00000000" w:rsidRDefault="00000000" w:rsidRPr="00000000" w14:paraId="00000033">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Incorporate lifecycle carbon and energy savings into capital project evaluations (e.g., payback plus carbon reduction).</w:t>
      </w:r>
    </w:p>
    <w:p w:rsidR="00000000" w:rsidDel="00000000" w:rsidP="00000000" w:rsidRDefault="00000000" w:rsidRPr="00000000" w14:paraId="00000034">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Prioritize investments that accelerate achievement of reduction targets (e.g., EVs, building efficiency, on-site renewables).</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Risk Management and Adaptation</w:t>
      </w:r>
    </w:p>
    <w:p w:rsidR="00000000" w:rsidDel="00000000" w:rsidP="00000000" w:rsidRDefault="00000000" w:rsidRPr="00000000" w14:paraId="00000036">
      <w:pPr>
        <w:numPr>
          <w:ilvl w:val="0"/>
          <w:numId w:val="2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Identify climate-related operational risks (fuel price volatility, regulatory changes, supply chain disruption) and incorporate mitigation measures in business continuity planning.</w:t>
      </w:r>
    </w:p>
    <w:p w:rsidR="00000000" w:rsidDel="00000000" w:rsidP="00000000" w:rsidRDefault="00000000" w:rsidRPr="00000000" w14:paraId="00000037">
      <w:pPr>
        <w:numPr>
          <w:ilvl w:val="0"/>
          <w:numId w:val="29"/>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Monitor regulatory developments relevant to GHG reporting, carbon pricing, and emissions standards and adapt policy as needed.</w:t>
      </w:r>
    </w:p>
    <w:p w:rsidR="00000000" w:rsidDel="00000000" w:rsidP="00000000" w:rsidRDefault="00000000" w:rsidRPr="00000000" w14:paraId="00000038">
      <w:pPr>
        <w:numPr>
          <w:ilvl w:val="0"/>
          <w:numId w:val="28"/>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Continuous Improvement</w:t>
      </w:r>
    </w:p>
    <w:p w:rsidR="00000000" w:rsidDel="00000000" w:rsidP="00000000" w:rsidRDefault="00000000" w:rsidRPr="00000000" w14:paraId="00000039">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Review this policy annually and update based on inventory results, new technologies, stakeholder expectations, or regulatory changes.</w:t>
      </w:r>
    </w:p>
    <w:p w:rsidR="00000000" w:rsidDel="00000000" w:rsidP="00000000" w:rsidRDefault="00000000" w:rsidRPr="00000000" w14:paraId="0000003A">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Seek opportunities to align targets with science-based frameworks as Prestige Environmental LLC grows.</w:t>
      </w:r>
    </w:p>
    <w:p w:rsidR="00000000" w:rsidDel="00000000" w:rsidP="00000000" w:rsidRDefault="00000000" w:rsidRPr="00000000" w14:paraId="0000003B">
      <w:pPr>
        <w:numPr>
          <w:ilvl w:val="0"/>
          <w:numId w:val="32"/>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Non-compliance and Corrective Action</w:t>
      </w:r>
    </w:p>
    <w:p w:rsidR="00000000" w:rsidDel="00000000" w:rsidP="00000000" w:rsidRDefault="00000000" w:rsidRPr="00000000" w14:paraId="0000003C">
      <w:pPr>
        <w:numPr>
          <w:ilvl w:val="0"/>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Document any material deviations from required measurement or reporting practices.</w:t>
      </w:r>
    </w:p>
    <w:p w:rsidR="00000000" w:rsidDel="00000000" w:rsidP="00000000" w:rsidRDefault="00000000" w:rsidRPr="00000000" w14:paraId="0000003D">
      <w:pPr>
        <w:numPr>
          <w:ilvl w:val="0"/>
          <w:numId w:val="15"/>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Investigate root causes and implement corrective actions; escalate unresolved or repeated failures to executive leadership.</w:t>
      </w:r>
    </w:p>
    <w:p w:rsidR="00000000" w:rsidDel="00000000" w:rsidP="00000000" w:rsidRDefault="00000000" w:rsidRPr="00000000" w14:paraId="0000003E">
      <w:pPr>
        <w:numPr>
          <w:ilvl w:val="0"/>
          <w:numId w:val="23"/>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Communication</w:t>
      </w:r>
    </w:p>
    <w:p w:rsidR="00000000" w:rsidDel="00000000" w:rsidP="00000000" w:rsidRDefault="00000000" w:rsidRPr="00000000" w14:paraId="0000003F">
      <w:pPr>
        <w:numPr>
          <w:ilvl w:val="0"/>
          <w:numId w:val="27"/>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Publicly state commitments and progress in the annual GHG report and company website.</w:t>
      </w:r>
    </w:p>
    <w:p w:rsidR="00000000" w:rsidDel="00000000" w:rsidP="00000000" w:rsidRDefault="00000000" w:rsidRPr="00000000" w14:paraId="00000040">
      <w:pPr>
        <w:numPr>
          <w:ilvl w:val="0"/>
          <w:numId w:val="27"/>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When presenting claims (e.g., “carbon-neutral,” “net-zero”), ensure claims are substantiated by inventory, reduction actions, and transparent offset use consistent with recognized guidance.</w:t>
      </w:r>
    </w:p>
    <w:p w:rsidR="00000000" w:rsidDel="00000000" w:rsidP="00000000" w:rsidRDefault="00000000" w:rsidRPr="00000000" w14:paraId="00000041">
      <w:pPr>
        <w:numPr>
          <w:ilvl w:val="0"/>
          <w:numId w:val="34"/>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Roles for Implementation (example assignments)</w:t>
      </w:r>
    </w:p>
    <w:p w:rsidR="00000000" w:rsidDel="00000000" w:rsidP="00000000" w:rsidRDefault="00000000" w:rsidRPr="00000000" w14:paraId="00000042">
      <w:pPr>
        <w:numPr>
          <w:ilvl w:val="0"/>
          <w:numId w:val="2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President/Owner: Policy approval and resourcing.</w:t>
      </w:r>
    </w:p>
    <w:p w:rsidR="00000000" w:rsidDel="00000000" w:rsidP="00000000" w:rsidRDefault="00000000" w:rsidRPr="00000000" w14:paraId="00000043">
      <w:pPr>
        <w:numPr>
          <w:ilvl w:val="0"/>
          <w:numId w:val="26"/>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Operations Manager: Fleet, facilities, and project-level implementation. Budgeting and investment analysis for low-carbon projects.</w:t>
      </w:r>
    </w:p>
    <w:p w:rsidR="00000000" w:rsidDel="00000000" w:rsidP="00000000" w:rsidRDefault="00000000" w:rsidRPr="00000000" w14:paraId="00000044">
      <w:pPr>
        <w:numPr>
          <w:ilvl w:val="0"/>
          <w:numId w:val="22"/>
        </w:numPr>
        <w:pBdr>
          <w:top w:color="auto" w:space="0" w:sz="0" w:val="none"/>
          <w:bottom w:color="auto" w:space="0" w:sz="0" w:val="none"/>
          <w:right w:color="auto" w:space="0" w:sz="0" w:val="none"/>
          <w:between w:color="auto" w:space="0" w:sz="0" w:val="none"/>
        </w:pBdr>
        <w:spacing w:after="0" w:after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Effective Date, Review, and Approval</w:t>
      </w:r>
    </w:p>
    <w:p w:rsidR="00000000" w:rsidDel="00000000" w:rsidP="00000000" w:rsidRDefault="00000000" w:rsidRPr="00000000" w14:paraId="00000045">
      <w:pPr>
        <w:numPr>
          <w:ilvl w:val="0"/>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Effective: May 7, 2026.</w:t>
      </w:r>
    </w:p>
    <w:p w:rsidR="00000000" w:rsidDel="00000000" w:rsidP="00000000" w:rsidRDefault="00000000" w:rsidRPr="00000000" w14:paraId="00000046">
      <w:pPr>
        <w:numPr>
          <w:ilvl w:val="0"/>
          <w:numId w:val="13"/>
        </w:numPr>
        <w:pBdr>
          <w:top w:color="auto" w:space="0" w:sz="0" w:val="none"/>
          <w:bottom w:color="auto" w:space="0" w:sz="0" w:val="none"/>
          <w:right w:color="auto" w:space="0" w:sz="0" w:val="none"/>
          <w:between w:color="auto" w:space="0" w:sz="0" w:val="none"/>
        </w:pBdr>
        <w:spacing w:after="0" w:afterAutospacing="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Review cycle: Annually (next review due May 7, 2027).</w:t>
      </w:r>
    </w:p>
    <w:p w:rsidR="00000000" w:rsidDel="00000000" w:rsidP="00000000" w:rsidRDefault="00000000" w:rsidRPr="00000000" w14:paraId="00000047">
      <w:pPr>
        <w:numPr>
          <w:ilvl w:val="0"/>
          <w:numId w:val="13"/>
        </w:numPr>
        <w:pBdr>
          <w:top w:color="auto" w:space="0" w:sz="0" w:val="none"/>
          <w:bottom w:color="auto" w:space="0" w:sz="0" w:val="none"/>
          <w:right w:color="auto" w:space="0" w:sz="0" w:val="none"/>
          <w:between w:color="auto" w:space="0" w:sz="0" w:val="none"/>
        </w:pBdr>
        <w:spacing w:after="120" w:before="0" w:beforeAutospacing="0" w:line="360" w:lineRule="auto"/>
        <w:ind w:left="960" w:hanging="360"/>
        <w:rPr>
          <w:sz w:val="25"/>
          <w:szCs w:val="25"/>
        </w:rPr>
      </w:pPr>
      <w:r w:rsidDel="00000000" w:rsidR="00000000" w:rsidRPr="00000000">
        <w:rPr>
          <w:rFonts w:ascii="Roboto" w:cs="Roboto" w:eastAsia="Roboto" w:hAnsi="Roboto"/>
          <w:color w:val="222222"/>
          <w:sz w:val="25"/>
          <w:szCs w:val="25"/>
          <w:highlight w:val="white"/>
          <w:rtl w:val="0"/>
        </w:rPr>
        <w:t xml:space="preserve">Approved by: Jeff Long/President, Prestige Environmental LLC.</w:t>
      </w:r>
    </w:p>
    <w:p w:rsidR="00000000" w:rsidDel="00000000" w:rsidP="00000000" w:rsidRDefault="00000000" w:rsidRPr="00000000" w14:paraId="00000048">
      <w:pPr>
        <w:pBdr>
          <w:top w:color="auto" w:space="0" w:sz="0" w:val="none"/>
          <w:bottom w:color="auto" w:space="0" w:sz="0" w:val="none"/>
          <w:right w:color="auto" w:space="0" w:sz="0" w:val="none"/>
          <w:between w:color="auto" w:space="0" w:sz="0" w:val="none"/>
        </w:pBdr>
        <w:spacing w:after="120" w:line="360" w:lineRule="auto"/>
        <w:ind w:left="720" w:firstLine="0"/>
        <w:rPr>
          <w:rFonts w:ascii="Roboto" w:cs="Roboto" w:eastAsia="Roboto" w:hAnsi="Roboto"/>
          <w:color w:val="222222"/>
          <w:sz w:val="25"/>
          <w:szCs w:val="25"/>
          <w:highlight w:val="white"/>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360" w:lineRule="auto"/>
        <w:rPr>
          <w:rFonts w:ascii="Roboto" w:cs="Roboto" w:eastAsia="Roboto" w:hAnsi="Roboto"/>
          <w:color w:val="222222"/>
          <w:sz w:val="25"/>
          <w:szCs w:val="25"/>
          <w:highlight w:val="white"/>
        </w:rPr>
      </w:pPr>
      <w:r w:rsidDel="00000000" w:rsidR="00000000" w:rsidRPr="00000000">
        <w:rPr>
          <w:rFonts w:ascii="Roboto" w:cs="Roboto" w:eastAsia="Roboto" w:hAnsi="Roboto"/>
          <w:color w:val="222222"/>
          <w:sz w:val="25"/>
          <w:szCs w:val="25"/>
          <w:highlight w:val="white"/>
          <w:rtl w:val="0"/>
        </w:rPr>
        <w:t xml:space="preserve">End of policy.</w:t>
      </w:r>
    </w:p>
    <w:p w:rsidR="00000000" w:rsidDel="00000000" w:rsidP="00000000" w:rsidRDefault="00000000" w:rsidRPr="00000000" w14:paraId="0000004A">
      <w:pPr>
        <w:ind w:left="720" w:firstLine="0"/>
        <w:rPr>
          <w:sz w:val="36"/>
          <w:szCs w:val="36"/>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2"/>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rFonts w:ascii="Roboto" w:cs="Roboto" w:eastAsia="Roboto" w:hAnsi="Roboto"/>
        <w:b w:val="0"/>
        <w:bCs w:val="0"/>
        <w:i w:val="0"/>
        <w:iCs w:val="0"/>
        <w:smallCaps w:val="0"/>
        <w:color w:val="222222"/>
        <w:sz w:val="25"/>
        <w:szCs w:val="25"/>
        <w:highlight w:val="white"/>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3"/>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6"/>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1"/>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9"/>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8"/>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4"/>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5"/>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7"/>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5"/>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7"/>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3"/>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0"/>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4"/>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6"/>
      <w:numFmt w:val="decimal"/>
      <w:lvlText w:val="%1."/>
      <w:lvlJc w:val="left"/>
      <w:pPr>
        <w:ind w:left="720" w:hanging="360"/>
      </w:pPr>
      <w:rPr>
        <w:rFonts w:ascii="Roboto" w:cs="Roboto" w:eastAsia="Roboto" w:hAnsi="Roboto"/>
        <w:b w:val="0"/>
        <w:bCs w:val="0"/>
        <w:i w:val="0"/>
        <w:iCs w:val="0"/>
        <w:smallCaps w:val="0"/>
        <w:color w:val="222222"/>
        <w:sz w:val="22"/>
        <w:szCs w:val="22"/>
        <w:highlight w:val="whit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8XvSZq9uJuYR/DTWoLK8uqZBQ==">CgMxLjAyDmguMnJneTlkOTFqbWg0OAByITFld1dsQWRabFM0bnhXRUY4bHVLX0psb0NUQmZjeVFjNg==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2025-09-05T17:56:54Z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a003b765-77ad-4261-b148-30c3c9c46d51</vt:lpwstr>
  </property>
  <property fmtid="{D5CDD505-2E9C-101B-9397-08002B2CF9AE}" pid="7" name="MSIP_Label_defa4170-0d19-0005-0004-bc88714345d2_ActionId">
    <vt:lpwstr>353e12e9-f8a1-4dae-8949-0745ca56b19e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