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0" w:line="296.47058823529414" w:lineRule="auto"/>
        <w:rPr>
          <w:rFonts w:ascii="Roboto" w:cs="Roboto" w:eastAsia="Roboto" w:hAnsi="Roboto"/>
          <w:b w:val="1"/>
          <w:bCs w:val="1"/>
          <w:color w:val="222222"/>
          <w:sz w:val="33"/>
          <w:szCs w:val="33"/>
        </w:rPr>
      </w:pPr>
      <w:bookmarkStart w:colFirst="0" w:colLast="0" w:name="_r3ock9ezv6f1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3"/>
          <w:szCs w:val="33"/>
          <w:rtl w:val="0"/>
        </w:rPr>
        <w:t xml:space="preserve">Prestige Environmental LLC — Green Initiatives Policy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Effective date: May 7, 2026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Establish clear, actionable commitments and procedures to minimize environmental impacts, promote sustainability, and demonstrate leadership in green practices across Prestige Environmental LLC’s operations and services.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Scope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Applies to all employees, contractors, interns, and officers of Prestige Environmental LLC and to company-controlled facilities, vehicles, equipment, and operations. Also guides procurement, client engagement, and partnerships where the company has influence.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Principles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Compliance: Meet or exceed all applicable environmental laws, permits, and industry standards.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Prevention: Prioritize pollution prevention, waste reduction, and resource conservation.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Continuous improvement: Set measurable targets, monitor performance, and review progress annually.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Transparency and accountability: Report progress internally and to stakeholders as appropriate.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Lifecycle thinking: Consider environmental impacts across the lifecycle of services, products, and purchases.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Community stewardship: Support local environmental initiatives and engage stakeholders.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Organizational responsibilities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Leadership: Senior Management is responsible for policy adoption, resource allocation, target setting, and annual performance reviews.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Employees and contractors: Follow this policy, participate in training, implement operational controls, and report issues or improvement ideas.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Operations manager: Integrate green requirements into project planning, execution, and client communications.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Goals and targets (initial 24 months)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Energy: Reduce site and office electricity consumption by 5% per FTE or per square foot (baseline: company’s latest 12-month average).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Emissions: Reduce fleet fuel consumption and related CO2e by 5% (baseline: latest 12-month average) and evaluate transition planning for low-emission vehicles.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Waste: Divert 30% of non-hazardous operational waste from landfill through reuse, recycling, and supplier take-back.</w:t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Paper use: Reduce paper consumption by 80% through digitization and print controls.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Procurement: Ensure at least 20% of purchased products or services by spend meet defined sustainability criteria.</w:t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Community: Participate in at least two local environmental or restoration activities annually.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Operational practices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Energy efficiency</w:t>
      </w:r>
    </w:p>
    <w:p w:rsidR="00000000" w:rsidDel="00000000" w:rsidP="00000000" w:rsidRDefault="00000000" w:rsidRPr="00000000" w14:paraId="0000001B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Use LED lighting, automatic controls (timers, motion sensors) and efficient HVAC settings in offices and facilities.</w:t>
      </w:r>
    </w:p>
    <w:p w:rsidR="00000000" w:rsidDel="00000000" w:rsidP="00000000" w:rsidRDefault="00000000" w:rsidRPr="00000000" w14:paraId="0000001C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Purchase ENERGY STAR or equivalent equipment when replacing appliances, computers, and office electronics.</w:t>
      </w:r>
    </w:p>
    <w:p w:rsidR="00000000" w:rsidDel="00000000" w:rsidP="00000000" w:rsidRDefault="00000000" w:rsidRPr="00000000" w14:paraId="0000001D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Encourage remote work and efficient scheduling of site visits to reduce commuting and travel emissions where feasible.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Fleet and transportation</w:t>
      </w:r>
    </w:p>
    <w:p w:rsidR="00000000" w:rsidDel="00000000" w:rsidP="00000000" w:rsidRDefault="00000000" w:rsidRPr="00000000" w14:paraId="0000001F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Maintain a preventive vehicle maintenance program to maximize fuel efficiency and minimize leaks/emissions.</w:t>
      </w:r>
    </w:p>
    <w:p w:rsidR="00000000" w:rsidDel="00000000" w:rsidP="00000000" w:rsidRDefault="00000000" w:rsidRPr="00000000" w14:paraId="00000020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Route plan to minimize mileage and combine client visits when practical.</w:t>
      </w:r>
    </w:p>
    <w:p w:rsidR="00000000" w:rsidDel="00000000" w:rsidP="00000000" w:rsidRDefault="00000000" w:rsidRPr="00000000" w14:paraId="00000021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Prioritize low-emission vehicle procurement when replacing fleet (hybrid/electric where total cost of ownership and operational needs permit).</w:t>
      </w:r>
    </w:p>
    <w:p w:rsidR="00000000" w:rsidDel="00000000" w:rsidP="00000000" w:rsidRDefault="00000000" w:rsidRPr="00000000" w14:paraId="00000022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Encourage drivers to use eco-driving practices (moderate speeds, avoid idling, smooth acceleration).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Waste management</w:t>
      </w:r>
    </w:p>
    <w:p w:rsidR="00000000" w:rsidDel="00000000" w:rsidP="00000000" w:rsidRDefault="00000000" w:rsidRPr="00000000" w14:paraId="00000024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Implement on-site recycling for paper, cardboard, plastics, glass, and metals; provide clear signage and bins.</w:t>
      </w:r>
    </w:p>
    <w:p w:rsidR="00000000" w:rsidDel="00000000" w:rsidP="00000000" w:rsidRDefault="00000000" w:rsidRPr="00000000" w14:paraId="00000025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Separate and manage hazardous waste and regulated materials per legal requirements; ensure proper manifests and certified disposal.</w:t>
      </w:r>
    </w:p>
    <w:p w:rsidR="00000000" w:rsidDel="00000000" w:rsidP="00000000" w:rsidRDefault="00000000" w:rsidRPr="00000000" w14:paraId="00000026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Promote reuse of materials and supplies; establish a surplus equipment/material exchange or donation practice.</w:t>
      </w:r>
    </w:p>
    <w:p w:rsidR="00000000" w:rsidDel="00000000" w:rsidP="00000000" w:rsidRDefault="00000000" w:rsidRPr="00000000" w14:paraId="00000027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Require vendors to minimize packaging and accept returns of packaging when possible.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Paperless operations and information management</w:t>
      </w:r>
    </w:p>
    <w:p w:rsidR="00000000" w:rsidDel="00000000" w:rsidP="00000000" w:rsidRDefault="00000000" w:rsidRPr="00000000" w14:paraId="00000029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Default to digital invoicing, reporting, and client deliverables unless clients request printed materials.</w:t>
      </w:r>
    </w:p>
    <w:p w:rsidR="00000000" w:rsidDel="00000000" w:rsidP="00000000" w:rsidRDefault="00000000" w:rsidRPr="00000000" w14:paraId="0000002A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Implement secure electronic document management with version control and retention limits to reduce unnecessary duplication.</w:t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Use double-sided printing and set printers to default to black-and-white and duplex when printing is necessary.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Sustainable procurement</w:t>
      </w:r>
    </w:p>
    <w:p w:rsidR="00000000" w:rsidDel="00000000" w:rsidP="00000000" w:rsidRDefault="00000000" w:rsidRPr="00000000" w14:paraId="0000002D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Include environmental selection criteria in procurement decisions: energy efficiency, recycled content, durability, supplier environmental practices, and end-of-life disposal.</w:t>
      </w:r>
    </w:p>
    <w:p w:rsidR="00000000" w:rsidDel="00000000" w:rsidP="00000000" w:rsidRDefault="00000000" w:rsidRPr="00000000" w14:paraId="0000002E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Favor local suppliers when they meet sustainability and cost criteria to reduce transportation emissions and support local economy.</w:t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Require environmental certifications or supplier declarations for key purchases (e.g., recycled content, ecolabels).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Chemicals, materials and remediation practices</w:t>
      </w:r>
    </w:p>
    <w:p w:rsidR="00000000" w:rsidDel="00000000" w:rsidP="00000000" w:rsidRDefault="00000000" w:rsidRPr="00000000" w14:paraId="00000031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Prefer low-toxicity, low-volatility, and biodegradable alternatives where possible.</w:t>
      </w:r>
    </w:p>
    <w:p w:rsidR="00000000" w:rsidDel="00000000" w:rsidP="00000000" w:rsidRDefault="00000000" w:rsidRPr="00000000" w14:paraId="00000032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Minimize disturbance to natural areas and use best management practices to control erosion, sediment, and runoff on project sites.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For remediation projects, prioritize solutions that reduce secondary impacts (e.g., in-situ over extensive excavation when appropriate).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Water conservation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Install water-efficient fixtures and practice leak detection and repair.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Use best practices on sites to minimize water use and prevent contamination of local water bodies.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Construction and site work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Implement erosion and sediment control, spill prevention, material staging and containment, and dust suppression on project sites.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Restore disturbed areas promptly with native species where appropriate.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Supplier and subcontractor engagement</w:t>
      </w:r>
    </w:p>
    <w:p w:rsidR="00000000" w:rsidDel="00000000" w:rsidP="00000000" w:rsidRDefault="00000000" w:rsidRPr="00000000" w14:paraId="0000003B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Communicate this policy to suppliers and subcontractors and include sustainability clauses in contracts where appropriate.</w:t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360" w:lineRule="auto"/>
        <w:ind w:left="1920" w:hanging="360"/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Prefer suppliers with demonstrable environmental management systems or certifications.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Monitoring, measurement and reporting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Ensure all subcontractors for transportation and disposal are monitoring and reporting their green initiatives.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Metrics such as: Track energy use, fuel consumption, waste volumes and diversion rates, paper use, sustainable procurement spend, and community engagement activities.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Records such as: Maintain records for permits, hazardous waste manifests, recycling receipts, supplier certifications, and training logs.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Audits: Conduct an internal annual review; where appropriate, engage third-party verification for selected metrics.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Training and communication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Provide mandatory environmental awareness training for all new hires and annual refresher training for staff with operational responsibilities.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Share practical guidance (checklists, SOPs) for common tasks (site setup, vehicle use, waste handling, procurement).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Encourage employee suggestions and provide a simple mechanism to submit green improvement ideas.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Incident management and corrective action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Require immediate reporting of spills, permit noncompliance, or other environmental incidents to management and follow incident response procedures.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Investigate root causes and implement corrective and preventive actions; document actions and monitor effectiveness.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Notify regulators and clients as required by law and contractual obligations.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Incentives and recognition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Recognize teams or individuals who achieve significant reductions or innovative green improvements (quarterly or annual awards).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Consider small financial incentives or paid volunteer time for staff participation in approved environmental events.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Continuous improvement</w:t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Review targets and policy at least annually and update based on performance, new technologies, regulatory changes, and stakeholder feedback.</w:t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Pilot new practices or technologies (e.g., EVs, solar, carbon offsetting) with defined evaluation criteria before wider rollout.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Policy governance and review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Senior Management approves this policy and any significant changes.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The policy will be reviewed annually, or sooner if required by regulatory changes or material business changes.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Definitions (selected)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Hazardous waste: Materials subject to regulation under applicable hazardous-waste laws.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Diverted from landfill: Reused, recycled, composted, or otherwise prevented from disposal in landfill.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Sustainable procurement: Purchasing based on environmental, social, and economic criteria favoring reduced environmental impact.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Contact and implementation start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Senior Management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Implementation timeline: Immediate adoption of policy; specific targets and actions to be tracked starting from the next full month following approval.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rPr>
          <w:rFonts w:ascii="Roboto" w:cs="Roboto" w:eastAsia="Roboto" w:hAnsi="Roboto"/>
          <w:color w:val="222222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Approval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Approved by: Jeff Long / President, Prestige Environmental LLC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360" w:lineRule="auto"/>
        <w:ind w:left="960" w:hanging="360"/>
        <w:rPr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color w:val="222222"/>
          <w:sz w:val="25"/>
          <w:szCs w:val="25"/>
          <w:rtl w:val="0"/>
        </w:rPr>
        <w:t xml:space="preserve">Approval date: May 7, 2026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5"/>
        <w:szCs w:val="25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